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E1" w:rsidRDefault="007E62E1" w:rsidP="007E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6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Омский Росреестр подвёл итоги полугодия</w:t>
      </w:r>
    </w:p>
    <w:p w:rsidR="007E62E1" w:rsidRPr="007E62E1" w:rsidRDefault="007E62E1" w:rsidP="007E62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20ABD" w:rsidRPr="007E62E1" w:rsidRDefault="00E14A77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июля</w:t>
      </w:r>
      <w:r w:rsidR="00020ABD" w:rsidRPr="007E62E1">
        <w:rPr>
          <w:rFonts w:ascii="Times New Roman" w:eastAsia="Times New Roman" w:hAnsi="Times New Roman" w:cs="Times New Roman"/>
          <w:sz w:val="28"/>
          <w:szCs w:val="28"/>
        </w:rPr>
        <w:t xml:space="preserve"> состоялось заседание коллегии Управления Федеральной службы государственной регистрации, кадастра и картографии по Омской области, которое вел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Сергей</w:t>
      </w:r>
      <w:r w:rsidR="00020ABD" w:rsidRPr="007E62E1">
        <w:rPr>
          <w:rFonts w:ascii="Times New Roman" w:eastAsia="Times New Roman" w:hAnsi="Times New Roman" w:cs="Times New Roman"/>
          <w:sz w:val="28"/>
          <w:szCs w:val="28"/>
        </w:rPr>
        <w:t xml:space="preserve"> Чаплин.  В заседании приняли участие члены коллегии, в том числе директор филиала ФГБУ «ФКП Росреестра» по Омской области.</w:t>
      </w:r>
    </w:p>
    <w:p w:rsidR="00020ABD" w:rsidRPr="00BC584A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2E1">
        <w:rPr>
          <w:rFonts w:ascii="Times New Roman" w:eastAsia="Times New Roman" w:hAnsi="Times New Roman" w:cs="Times New Roman"/>
          <w:sz w:val="28"/>
          <w:szCs w:val="28"/>
        </w:rPr>
        <w:t xml:space="preserve">На коллегии рассматривались результаты работы Управления в первом полугодии 2020 года по всем направлениям деятельности. Особое внимание члены коллегии уделили вопросам повышения качества предоставления государственных услуг Росреестра, а также результатам работы по достижению отдельных показателей целевых моделей по государственной регистрации и кадастровому учету, в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по внесению сведений в ЕГРН о границах административно-территориальных образований. Также на заседании коллегии обсуждались вопросы реализации мероприятий по проекту «Наполнение Единого государственного реестра недвижимости необходимыми сведениями».</w:t>
      </w:r>
    </w:p>
    <w:p w:rsidR="00020ABD" w:rsidRPr="00BC584A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До сведения участников коллегии доведено, что по состоянию на 01.07.2020 в ЕГРН содержатся сведения о 2 080 834 объектах недвижимости, находящихся на территории Омской области. Количество учтенных в ЕГРН объектов недвижимости, права на которые зарегистрированы, составило 1 472 988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. Всего за 1 полугодие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предоставлено более 158,6 тыс. услуг в учетно-ре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гистрационной сфере, что на 28 процентов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меньше в сравнении с 1 полугодием  2019 года (221,5 тыс.).</w:t>
      </w:r>
    </w:p>
    <w:p w:rsidR="00020ABD" w:rsidRPr="00BC584A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Общее количество заявлений о проведении учетно-регистрационных действий, поступивших в электронной форме, по сравнению с 1 полугодием 2019 года, изменилось незначительно.  При этом отмечается увеличение количества заявлений о государственной регистрации права и государственном кадас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тровом учете и сокращение на 40 процентов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на проведение единой процедуры, поданных в электронной форме.</w:t>
      </w:r>
    </w:p>
    <w:p w:rsidR="00020ABD" w:rsidRPr="00BC584A" w:rsidRDefault="00E14A77" w:rsidP="007E62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1 полугодии на кадастровый учет поставлено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13 многоквартирных домов,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5 из которых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построено с привлечением застройщиками денежных средств граждан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>– участников долевого строительства.</w:t>
      </w:r>
    </w:p>
    <w:p w:rsidR="00020ABD" w:rsidRPr="00BC584A" w:rsidRDefault="00E14A77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отчетном периоде на 38 процентов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меньше, в сравнении с 1 полугодием 2019 года, зарегистрировано договоров участия в долевом стро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ительстве (1 полугодие 2020 г. – 545, 1 полугодие 2019 г. –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881). </w:t>
      </w:r>
    </w:p>
    <w:p w:rsidR="00020ABD" w:rsidRPr="00BC584A" w:rsidRDefault="00020ABD" w:rsidP="007E6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br/>
        <w:t xml:space="preserve">от 02.04.2020 № Пр-612 по проведению анализа эффективности использования земельных участков для определения возможности вовлечения их в оборот в целях жилищного строительства, в мае 2020 года при Управлении создан постоянно действующий оперативный штаб. В состав оперативного штаба вошли представители федеральных и региональных органов исполнительной власти, а также Администрации города Омска. По итогам работы в качестве населенного пункта, имеющего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 развития жилищного строительства, определен город Омск, а так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же прилегающая к нему территория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в пределах 30-ти километровой зоны от границ; сформирован перечень из 210 земельных участков, подлежащих вовлечению в оборот для целей жилищного строительства. Работу оперативного штаба по поиску и вовлечению в жилищное строительство земельных участков планируется продолжить.</w:t>
      </w:r>
    </w:p>
    <w:p w:rsidR="00020ABD" w:rsidRPr="00BC584A" w:rsidRDefault="00020ABD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2020 году продолжилась работа по повышению качества данных об объектах недвижимости, содержащихся в ЕГРН, в том числе посредством их актуализации на основании данных, полученных с помощью межведомственного информационного взаимодействия с органами государственной власти, органами местного самоуправления и организациями технической инвентаризации.</w:t>
      </w:r>
    </w:p>
    <w:p w:rsidR="00020ABD" w:rsidRPr="00BC584A" w:rsidRDefault="00020ABD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рамках работ по повышению качества данных ЕГРН были исправлены све</w:t>
      </w:r>
      <w:r w:rsidR="00E14A77" w:rsidRPr="00BC584A">
        <w:rPr>
          <w:rFonts w:ascii="Times New Roman" w:eastAsia="Times New Roman" w:hAnsi="Times New Roman" w:cs="Times New Roman"/>
          <w:sz w:val="28"/>
          <w:szCs w:val="28"/>
        </w:rPr>
        <w:t>дения о назначении 13 051 здания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и о площади 2064 помещений, имевших статус «актуальные незасвидетельствованные», внесены отсутствующие сведения о назначении 1694 помещений и годе завершения строительства либо вводе в эксплуатацию в отношении 22 480 объектов капитального строительства.</w:t>
      </w:r>
    </w:p>
    <w:p w:rsidR="0057603D" w:rsidRPr="00BC584A" w:rsidRDefault="00020ABD" w:rsidP="0057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Также продолжена работа по установлению связей между земельными участками и расположенными на них объектами капитального строительства. По состоянию на 01.07.2020 внесена привязка к земельным участкам 338 177 объектов капитального строительства.  В результате привязка объектов капитального строительства к земель</w:t>
      </w:r>
      <w:r w:rsidR="0057603D" w:rsidRPr="00BC584A">
        <w:rPr>
          <w:rFonts w:ascii="Times New Roman" w:eastAsia="Times New Roman" w:hAnsi="Times New Roman" w:cs="Times New Roman"/>
          <w:sz w:val="28"/>
          <w:szCs w:val="28"/>
        </w:rPr>
        <w:t>ным участкам составила 77,61 процента (на 01.01.2020  - 77 процентов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0ABD" w:rsidRPr="00BC584A" w:rsidRDefault="0057603D" w:rsidP="007E6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первом полугодии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>  проводились подготовительные работы по проведению государственной кадастровой оценки земельных участков в составе категории земель сельскохозяйственного назначения, категории земель населенных пунктов.</w:t>
      </w:r>
    </w:p>
    <w:p w:rsidR="00020ABD" w:rsidRPr="00BC584A" w:rsidRDefault="00020ABD" w:rsidP="007E6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Управлением сформированы и переданы в Министерство имущественных отношений Омской области текстовая и графическая  части перечня объектов недвижимости, подлежащих государственной кадастровой оценке</w:t>
      </w:r>
      <w:r w:rsidR="0057603D" w:rsidRPr="00BC5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Омской области в 2020 году.  </w:t>
      </w:r>
    </w:p>
    <w:p w:rsidR="00020ABD" w:rsidRPr="00BC584A" w:rsidRDefault="0057603D" w:rsidP="00576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В 1 полугодии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проведено 11 заседаний Комиссии по рассмотрению споров о результатах определения кадастровой стоимости (далее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Комиссия). Комиссией принято ре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шений в пользу заявителей по 80 процентам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заявлений (1 полугодие 2019 –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по 68 процентам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>), снижение суммарной кад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астровой стоимости составило 47 процентов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(1 полугодие 2019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– 38 процентов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20ABD" w:rsidRPr="00BC584A" w:rsidRDefault="00020ABD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При осуществлении функций по государственному земельному надзору в 1 пол</w:t>
      </w:r>
      <w:r w:rsidR="00545A04" w:rsidRPr="00BC584A">
        <w:rPr>
          <w:rFonts w:ascii="Times New Roman" w:eastAsia="Times New Roman" w:hAnsi="Times New Roman" w:cs="Times New Roman"/>
          <w:sz w:val="28"/>
          <w:szCs w:val="28"/>
        </w:rPr>
        <w:t>угодии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проведено 885 контрольных мероприятий, из них: 525 проверок в отно</w:t>
      </w:r>
      <w:r w:rsidR="00545A04" w:rsidRPr="00BC584A">
        <w:rPr>
          <w:rFonts w:ascii="Times New Roman" w:eastAsia="Times New Roman" w:hAnsi="Times New Roman" w:cs="Times New Roman"/>
          <w:sz w:val="28"/>
          <w:szCs w:val="28"/>
        </w:rPr>
        <w:t>шении 289 субъектов (физических и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лиц) и 360 административных обследований в отношении 378 объектов земельных отношений. </w:t>
      </w:r>
    </w:p>
    <w:p w:rsidR="00020ABD" w:rsidRPr="00BC584A" w:rsidRDefault="00334133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полугодия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средний процент достижения показателей Целевых моделей в учетно-регистрационной сфере, установленных на 01.01.2021, составил:</w:t>
      </w:r>
    </w:p>
    <w:p w:rsidR="00020ABD" w:rsidRPr="00BC584A" w:rsidRDefault="00334133" w:rsidP="0033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71 процент –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по целевой модели по регистрации прав;</w:t>
      </w:r>
    </w:p>
    <w:p w:rsidR="00020ABD" w:rsidRPr="00BC584A" w:rsidRDefault="00334133" w:rsidP="0033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66 процентов – </w:t>
      </w:r>
      <w:r w:rsidR="00020ABD" w:rsidRPr="00BC584A">
        <w:rPr>
          <w:rFonts w:ascii="Times New Roman" w:eastAsia="Times New Roman" w:hAnsi="Times New Roman" w:cs="Times New Roman"/>
          <w:sz w:val="28"/>
          <w:szCs w:val="28"/>
        </w:rPr>
        <w:t xml:space="preserve"> по целевой модели по кадастровому учету.</w:t>
      </w:r>
    </w:p>
    <w:p w:rsidR="00020ABD" w:rsidRPr="00BC584A" w:rsidRDefault="00020ABD" w:rsidP="007E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Достигнуто 7 из 12 показателей, установленных целевой моделью по регистрации прав и 7 из 23 показателей, установленных целевой моделью по кадастровому учету. В качестве положительных результатов реализации целевых моделей в 2020 году следует отметить увеличение количества сведений, по которым осуществляется электронное межведомственное взаимодействие</w:t>
      </w:r>
      <w:r w:rsidR="00334133" w:rsidRPr="00BC58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с 13 до 23 (целевой показатель – 20). </w:t>
      </w:r>
    </w:p>
    <w:p w:rsidR="00020ABD" w:rsidRPr="00BC584A" w:rsidRDefault="00020ABD" w:rsidP="007E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334133" w:rsidRPr="00BC584A">
        <w:rPr>
          <w:rFonts w:ascii="Times New Roman" w:eastAsia="Times New Roman" w:hAnsi="Times New Roman" w:cs="Times New Roman"/>
          <w:sz w:val="28"/>
          <w:szCs w:val="28"/>
        </w:rPr>
        <w:t>    В первом полугодии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поступило 1583 о</w:t>
      </w:r>
      <w:r w:rsidR="00334133" w:rsidRPr="00BC584A">
        <w:rPr>
          <w:rFonts w:ascii="Times New Roman" w:eastAsia="Times New Roman" w:hAnsi="Times New Roman" w:cs="Times New Roman"/>
          <w:sz w:val="28"/>
          <w:szCs w:val="28"/>
        </w:rPr>
        <w:t xml:space="preserve">бращения, из них 1364 – 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>от граждан и 219</w:t>
      </w:r>
      <w:r w:rsidR="00334133" w:rsidRPr="00BC584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C584A">
        <w:rPr>
          <w:rFonts w:ascii="Times New Roman" w:eastAsia="Times New Roman" w:hAnsi="Times New Roman" w:cs="Times New Roman"/>
          <w:sz w:val="28"/>
          <w:szCs w:val="28"/>
        </w:rPr>
        <w:t xml:space="preserve"> от юридических лиц. Анализ поступивших обращений показал, что наибольшую часть обращений составляют вопросы по разъяснению законодательства в сфере деятельности Управления.</w:t>
      </w:r>
      <w:r w:rsidR="00334133" w:rsidRPr="00BC5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ABD" w:rsidRPr="00BC584A" w:rsidRDefault="00020ABD" w:rsidP="007E6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  В целях повышения качества и эффективности рассмотрения обращений Управлением поставлены задачи о выработке мер по исключению повторных обращений заявителей по одним и тем же вопросам; по организации  исчерпывающих консультаций по вопросам, с которыми обращаются граждане и юридические лица.</w:t>
      </w:r>
    </w:p>
    <w:p w:rsidR="00020ABD" w:rsidRPr="007E62E1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4A">
        <w:rPr>
          <w:rFonts w:ascii="Times New Roman" w:eastAsia="Times New Roman" w:hAnsi="Times New Roman" w:cs="Times New Roman"/>
          <w:sz w:val="28"/>
          <w:szCs w:val="28"/>
        </w:rPr>
        <w:t>Коллегия заслушала выступления об итогах работы по направлениям деятельности, признала работу Управления в первом полугодии 2020 года удовлетворительной, определила основные задачи на второе полугодие и вынесла соответствующие решения.</w:t>
      </w:r>
    </w:p>
    <w:p w:rsidR="00020ABD" w:rsidRPr="007E62E1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2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0ABD" w:rsidRPr="007E62E1" w:rsidRDefault="00020ABD" w:rsidP="007E6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417" w:rsidRPr="007E62E1" w:rsidRDefault="00D33417" w:rsidP="007E62E1">
      <w:pPr>
        <w:spacing w:after="0" w:line="240" w:lineRule="auto"/>
        <w:rPr>
          <w:sz w:val="28"/>
          <w:szCs w:val="28"/>
        </w:rPr>
      </w:pPr>
    </w:p>
    <w:sectPr w:rsidR="00D33417" w:rsidRPr="007E62E1" w:rsidSect="007E62E1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ABD"/>
    <w:rsid w:val="00020ABD"/>
    <w:rsid w:val="003246BC"/>
    <w:rsid w:val="00334133"/>
    <w:rsid w:val="00545A04"/>
    <w:rsid w:val="0057603D"/>
    <w:rsid w:val="007E62E1"/>
    <w:rsid w:val="008A7E1B"/>
    <w:rsid w:val="00BC584A"/>
    <w:rsid w:val="00D33417"/>
    <w:rsid w:val="00E14A77"/>
    <w:rsid w:val="00F9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B"/>
  </w:style>
  <w:style w:type="paragraph" w:styleId="1">
    <w:name w:val="heading 1"/>
    <w:basedOn w:val="a"/>
    <w:link w:val="10"/>
    <w:uiPriority w:val="9"/>
    <w:qFormat/>
    <w:rsid w:val="0002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20AB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2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2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9</cp:revision>
  <dcterms:created xsi:type="dcterms:W3CDTF">2020-08-03T05:52:00Z</dcterms:created>
  <dcterms:modified xsi:type="dcterms:W3CDTF">2020-08-03T08:04:00Z</dcterms:modified>
</cp:coreProperties>
</file>