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28" w:rsidRPr="00F45BCA" w:rsidRDefault="00AD3FAA" w:rsidP="0027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Омский Росреестр о судебной практике</w:t>
      </w:r>
      <w:r w:rsidR="00AD7BBF" w:rsidRPr="00F45BCA">
        <w:rPr>
          <w:rFonts w:ascii="Times New Roman" w:hAnsi="Times New Roman" w:cs="Times New Roman"/>
          <w:b/>
          <w:sz w:val="28"/>
        </w:rPr>
        <w:t xml:space="preserve"> по вопросу снятия с государственного кадастрового учета объектов недвижимости</w:t>
      </w:r>
    </w:p>
    <w:p w:rsidR="00AD7BBF" w:rsidRPr="00F45BCA" w:rsidRDefault="00AD7BBF" w:rsidP="00275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9D9" w:rsidRPr="00F45BCA" w:rsidRDefault="00AD7BBF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Недвижимое имущество, как и любое другое, подвержено уничтожению. Фактическое уничтожение объекта недвижимости, однако, не означает прекращения его существования в юридическом смысле. Для этого необходимо</w:t>
      </w:r>
      <w:r w:rsidR="004E213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снятие</w:t>
      </w:r>
      <w:r w:rsidR="00861F9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065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объекта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</w:t>
      </w:r>
      <w:r w:rsidR="004E213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учёта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Однако</w:t>
      </w:r>
      <w:r w:rsidR="0051036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некоторых случаях в административном порядке снять с кадастрового учета уничтоженный объект (здание, сооружение) невозможно в силу требований Федерального закона от 13.07.2015 № 218-ФЗ «О государственной регистрации недв</w:t>
      </w:r>
      <w:r w:rsidR="004A607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ижимости» (далее – Закон о регистрации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C7E" w:rsidRPr="00F45BCA" w:rsidRDefault="002B26AB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Обратимся к судебной практике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снятия с государственного кадастрового учета объектов недвижимости при участии Управления Росреестра по Омской области.</w:t>
      </w:r>
    </w:p>
    <w:p w:rsidR="002A47EC" w:rsidRPr="00F45BCA" w:rsidRDefault="002A47EC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FB7" w:rsidRPr="00F45BCA" w:rsidRDefault="00283FB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из причин обращения в суд с требованием о снятии с государственного кадастрового учета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недвижимости</w:t>
      </w:r>
      <w:r w:rsidRPr="00F45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отсутствие зарегистрированного права на данный объект, учтенного в Едином государственном реестре недвижимости (далее – ЕГРН), поскольку согласно пункту 2 части 2 статьи 15 Закона о регистрации при осуществлении государственного кадастрового учета без одновременной государственной регистрации прав такой кадастровый учет осуществляется по заявлению собственника здания, сооружения, объекта незавершенного строительства</w:t>
      </w:r>
      <w:r w:rsidR="00A4571D" w:rsidRPr="00F45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5C7B" w:rsidRPr="00F45BCA" w:rsidRDefault="00AD7BBF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суды при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рассмотрении требований об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обжаловании отказов регистрирующего органа 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причине обращения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государственным кадастровым учетом ненадлежаще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признают правомерными решения регистрирующего органа (в частности, решение Арбитражного суда Омской области от 09.09.2017 по делу № А46-10872/2017).</w:t>
      </w:r>
    </w:p>
    <w:p w:rsidR="00A93859" w:rsidRPr="00F45BCA" w:rsidRDefault="00AD7BBF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 снять с государственного кадастрового учета уничтоженный объект в отсутствии зарегистрированного права собственности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него 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только в судебном порядке.</w:t>
      </w:r>
    </w:p>
    <w:p w:rsidR="00AD7BBF" w:rsidRPr="00F45BCA" w:rsidRDefault="004A79D9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для удовлетворения судом требований о снятии с кадастрового учета объектов необходимо представить бесспорные доказательства о возведении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истцом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спорных объектов, </w:t>
      </w:r>
      <w:r w:rsidR="00311945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доказательства сноса/уничтожения объекта (акт обследования, подготовленный кадастровым инженером), а также,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снятие с кадастрового учет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 объектов не повлечет ущемления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и законных интересов иных лиц.</w:t>
      </w:r>
    </w:p>
    <w:p w:rsidR="00DE3367" w:rsidRPr="00F45BCA" w:rsidRDefault="0031194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показывает судебная практика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суды удовлетворяют требования о снятии с кадастрового учета уничтоженных/снесенных объектов (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Арбитражного суда Омской области от 16.05.2018 по делу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EC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А46-24574/2017, 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Арбитражного суда Омской области  от 30.01.2020 по делу </w:t>
      </w:r>
      <w:r w:rsidR="00AB3EC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 А46-11258/2019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решение Первомайского районного суда г. Омска от 03.12.2019 по делу № 2-3041/2019, заочное решение Октябрьского районного 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суда г. Омска от 21.06.2019 № 2-1482/2019, решение Шербакульского районного суда Омской области от 13.05.2019 по делу №2-155/2019)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950" w:rsidRPr="00F45BCA" w:rsidRDefault="006F5D3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="00AB3EC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отметить,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настоящее время вступил в силу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 закон от 13.07.2020 № 202-ФЗ «О внесении изменений в Федеральный закон 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вносящий некоторые измен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в положения Закона о регистрации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950" w:rsidRPr="00F45BCA" w:rsidRDefault="000F3C7E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 перечень лиц, которые могут обращаться с заявлением о снятии объекта с кадастрового учета.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 гражданин, получивший в наследство земельный участок и садовый дом (который на момент принятия наследства был разрушен), сможет подать заявление о снятии такого дома с кадастрового учета и о прекращении права собственности умершего – только, если сведения о доме содержатся в ЕГРН. При этом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регистрация права собственности на садовый дом наследнику не требуется.</w:t>
      </w:r>
    </w:p>
    <w:p w:rsidR="00EB0950" w:rsidRPr="00F45BCA" w:rsidRDefault="00EB0950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возможности предоставлены не только наследникам, но и собственникам участка, когда расположенные на нем объекты принадлежат на праве собственности иному лицу. Заявление о снятии с учета и прекращении права собственности на прекративший существование объект недвижимости может подавать собственник земельного участка, если владевшее объектами недвижимости юридическое лицо было ликвидировано или в случае смерти владевшего этими объектами физического лица.</w:t>
      </w:r>
    </w:p>
    <w:p w:rsidR="00EB0950" w:rsidRPr="00F45BCA" w:rsidRDefault="00EB0950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снятии с учета и прекращении права собственности на прекративший существование объект недвижимости смогут подать также и органы государственной власти или местного самоуправления при соблюдении следующих условий:</w:t>
      </w:r>
    </w:p>
    <w:p w:rsidR="00EB0950" w:rsidRPr="00F45BCA" w:rsidRDefault="002A6B3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юридического лица – собственника недвижимости и участка, на котором она располагалась, если юридическое лицо было ликвидировано на момент подачи заявления о снятии с учета и прекращении права;</w:t>
      </w:r>
    </w:p>
    <w:p w:rsidR="00340507" w:rsidRPr="00F45BCA" w:rsidRDefault="002A6B3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физ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лица – собственника недвижимости и участка, на кот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ором она располагалась, если  данное 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лицо утратило правоспособность в связи со смертью и при отсутствии у него наследников. </w:t>
      </w:r>
    </w:p>
    <w:p w:rsidR="00EB0950" w:rsidRPr="00F45BCA" w:rsidRDefault="00EB0950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принятием указанного закона судебные споры по указанной выше категории дел заметно уменьши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3859" w:rsidRPr="00F45BCA" w:rsidRDefault="001747E6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причиной необходимости обращения в суд является невозможность подготовки Акта обследования по форме, установленной законодательством, в виду отсутствия проектной документации на снос объекта капитального строительства, которая необходима в соответствии с нормами главы 6.4 Градостроительного кодекса РФ.</w:t>
      </w:r>
    </w:p>
    <w:p w:rsidR="006E44C1" w:rsidRPr="00F45BCA" w:rsidRDefault="000F3C7E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азработать проектную документацию по организации работ с целью сноса объекта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владельцы 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 по причине прекращения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существования в натуре. В соответствии с Федеральным законом от 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03.08.2018 № 340-ФЗ «О внесении изменений в Градостроительный кодекс Российской Федерации и отдельные законодательные акты Российской Федерации» проект организации работ по сносу объекта капстроительства не требуется, если работы по сносу </w:t>
      </w:r>
      <w:r w:rsidR="00C61046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объекта, не связанного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реконструкцией или строительством нового объекта на месте снесенного, начаты до 04.08.2018.</w:t>
      </w:r>
    </w:p>
    <w:p w:rsidR="006E44C1" w:rsidRPr="00F45BCA" w:rsidRDefault="006E44C1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ситуации, как показывает судебная практика по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Омской области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суды также идут на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встречу истцам</w:t>
      </w:r>
      <w:r w:rsidR="00DE336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опираясь на принцип достоверности сведений ЕГРН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E336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судебные акты Арбитражного суда Омской области по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лам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А46-4172/2020, </w:t>
      </w:r>
      <w:r w:rsidR="00DE336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 А46-8708/2019).</w:t>
      </w:r>
    </w:p>
    <w:p w:rsidR="00DE3367" w:rsidRPr="00F45BCA" w:rsidRDefault="0034050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думают, что снять уч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асток с кадастрового учета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достаточно подать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регистрирующий орган соответствующее заявление. Между тем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так. Существует исчерпывающий перечень ситуаций, прямо 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Законом о регистрации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участок снять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можно. В 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оговоренных законом случаях этого сделать нельзя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950" w:rsidRPr="00F45BCA" w:rsidRDefault="0034050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Долгое время существовала практика снятия с кадастрового учета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суда в результате судебной отмены документа, на основании которого участок был образован. Например, если земельный участок был образован путем утверждения его схемы, то отмена постановления об утверждении схемы влекла снятие участка с кадастрового учета. Определением Судебной коллегии по экономическим спорам Верховного Суда РФ от 27.12.2018 № 306-КГ18-16823 по делу </w:t>
      </w:r>
      <w:r w:rsidR="0048170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А55-12346/2017 предложена позиция, направленная на прекращение этой практики. </w:t>
      </w:r>
    </w:p>
    <w:p w:rsidR="00F70395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недопустимость снятия с кадастрового учета земельного участка в случаях, не предусмотренных действующим законодательством, указано также в пункте 21 Обзора судебной практики по делам, связанным с оспариванием отказа в осуществлении кадастрового учета, утвержденного Президиумом Верховного Суда Российской Федерации 30.11.2016, согласно которому, если сведения о земельном участке, внесенные в государственный кадастр недвижимости, не носят временного характера, то такой земельный участок может быть снят с кадастрового учета только вследствие его преобразования или в случае, прямо предусмотренном законом. </w:t>
      </w:r>
    </w:p>
    <w:p w:rsidR="00F70395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Снятие с кадастрового учета объекта недвижимости может явиться следствием признания незаконными действий регистратора при осуществлении кадастрового учета объектов недвижимости в соответствии с пунктом 56 (абзацы 2, 3) постановления Пленума Верховного Суда Российской Федерации и Пленума Высшего Арбитражного Суда Российской Федерации от 29.04.2010 № 10/22 «О некоторых вопросах, возникающих в судебной практике при разрешении споров, связанных с защитой права собственности и других вещных прав». </w:t>
      </w:r>
    </w:p>
    <w:p w:rsidR="00F70395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ситуации, когда со стороны регистратора отсутствует факт совершения действий (бездействия) по осуществлению государственного кадастрового учета и такие действия (бездействие) не являлись предметом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рассмотрения судов, возложение на ответчика, в отношении которого не доказан факт нарушения прав заявителя, обязанности по снятию с кадастрового учета земельных участков противоречит нормам процессуального законодательства и приводит к нарушению баланса прав и законных интересов сторон. </w:t>
      </w:r>
    </w:p>
    <w:p w:rsidR="001A0318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приведенные заявителем обстоятельства не предусмотрены действующим законодательством в качестве основания для исключения из ЕГРН сведений о поставленных на кадастровый учет земельных участках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 этом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представляют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доказательства, свидетельствующи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наличии объективных препятствий к реализации заявителем прав собственника на преобразование земельных участков в установленном действующим законодательством порядке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то суд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отказыва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 в удовлетворении требований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решение Омского районного суда Омской области от 23.05.2018 № 2-992/2018, решение Омского районного суда Омской области от 07.07.2020 № 2-1123/2020, решение Арбитражного суда Омской области от 27.02.2018 по делу № А46-24209/2017, решение Арбитражного суда Омской области от </w:t>
      </w:r>
      <w:r w:rsidR="0048170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27.06.2018 по делу № А46-2946/2018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81708" w:rsidRPr="00F45BCA" w:rsidRDefault="0048170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как показывает судебная практика</w:t>
      </w:r>
      <w:r w:rsidR="00334CB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суды общей юрисдикции 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основном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удовлетворяют требования заявителя о снятии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кадастрового у</w:t>
      </w:r>
      <w:r w:rsidR="00334CB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чета земельных участков в случаях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наложения границ, отмены решения о предоставлении земельного участка или утвержденной схемы, признании недействительности результатов межевания и т.п. (решение Любинского</w:t>
      </w:r>
      <w:r w:rsidR="00334CB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суда Омской области от 17.09.2019 по делу № 2-694/2019, решение Саргатского районного суда Омской области от 20.11.2019 по делу № 2-439/2019, решение Омского районного суда Омской области от 22.01.2019 по делу № 2-75/2019).</w:t>
      </w:r>
    </w:p>
    <w:p w:rsidR="00FE4BE4" w:rsidRDefault="00334CB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завершение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отметить, что, в соответствии пунктом 5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2 статьи 14 Закона о регистрации,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оснований осуществления государственного кадастрового учета и государственной регистрации прав являются вступившие в законную силу судебные акты. Таким образом, в случае удовлетворения судом требований о снятии с государственного кадастрового учета объектов недвижимости регистрирующим органом будут осуществлены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учетно-регистрирующие действия –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условии соблюдения заявительного порядка, установленного статьей 18 Закон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регистрации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предоставления необходимых для регистрации документов.</w:t>
      </w:r>
    </w:p>
    <w:p w:rsidR="00CC6AC4" w:rsidRDefault="00CC6AC4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AC4" w:rsidRPr="00F45BCA" w:rsidRDefault="00CC6AC4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A72" w:rsidRPr="00F45BCA" w:rsidRDefault="00F55C32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Юлия </w:t>
      </w:r>
      <w:r w:rsidR="006E7A72"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Бобровник, </w:t>
      </w:r>
    </w:p>
    <w:p w:rsidR="006E7A72" w:rsidRPr="00F45BCA" w:rsidRDefault="006E7A72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главный специалист-эксперт</w:t>
      </w:r>
    </w:p>
    <w:p w:rsidR="006E7A72" w:rsidRPr="00F45BCA" w:rsidRDefault="006E7A72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отдела правового обеспечения</w:t>
      </w:r>
    </w:p>
    <w:p w:rsidR="00F55C32" w:rsidRPr="00F45BCA" w:rsidRDefault="001E6415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Управления Росреестра </w:t>
      </w:r>
    </w:p>
    <w:p w:rsidR="00AD7BBF" w:rsidRPr="00C564E2" w:rsidRDefault="001E6415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Омской области</w:t>
      </w:r>
      <w:r w:rsidR="00C564E2"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F03D5" w:rsidRPr="00C56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D7BBF" w:rsidRPr="00C564E2" w:rsidSect="0098795D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60" w:rsidRDefault="004D0B60" w:rsidP="0098795D">
      <w:pPr>
        <w:spacing w:after="0" w:line="240" w:lineRule="auto"/>
      </w:pPr>
      <w:r>
        <w:separator/>
      </w:r>
    </w:p>
  </w:endnote>
  <w:endnote w:type="continuationSeparator" w:id="0">
    <w:p w:rsidR="004D0B60" w:rsidRDefault="004D0B60" w:rsidP="0098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60" w:rsidRDefault="004D0B60" w:rsidP="0098795D">
      <w:pPr>
        <w:spacing w:after="0" w:line="240" w:lineRule="auto"/>
      </w:pPr>
      <w:r>
        <w:separator/>
      </w:r>
    </w:p>
  </w:footnote>
  <w:footnote w:type="continuationSeparator" w:id="0">
    <w:p w:rsidR="004D0B60" w:rsidRDefault="004D0B60" w:rsidP="0098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29"/>
    </w:sdtPr>
    <w:sdtEndPr/>
    <w:sdtContent>
      <w:p w:rsidR="0098795D" w:rsidRDefault="004D0B60" w:rsidP="009879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5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95D" w:rsidRDefault="009879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F"/>
    <w:rsid w:val="000F3C7E"/>
    <w:rsid w:val="000F7DC1"/>
    <w:rsid w:val="00106F58"/>
    <w:rsid w:val="0010770D"/>
    <w:rsid w:val="001419F2"/>
    <w:rsid w:val="00170D0F"/>
    <w:rsid w:val="001747E6"/>
    <w:rsid w:val="001A0318"/>
    <w:rsid w:val="001E3CA3"/>
    <w:rsid w:val="001E6415"/>
    <w:rsid w:val="00264065"/>
    <w:rsid w:val="00275497"/>
    <w:rsid w:val="00283FB7"/>
    <w:rsid w:val="002A47EC"/>
    <w:rsid w:val="002A6B38"/>
    <w:rsid w:val="002B26AB"/>
    <w:rsid w:val="00311945"/>
    <w:rsid w:val="00334CB7"/>
    <w:rsid w:val="00340507"/>
    <w:rsid w:val="003418CB"/>
    <w:rsid w:val="003466C0"/>
    <w:rsid w:val="003715B9"/>
    <w:rsid w:val="003C71C3"/>
    <w:rsid w:val="00402B31"/>
    <w:rsid w:val="00446D1B"/>
    <w:rsid w:val="00481708"/>
    <w:rsid w:val="004A6079"/>
    <w:rsid w:val="004A79D9"/>
    <w:rsid w:val="004D0B60"/>
    <w:rsid w:val="004E213A"/>
    <w:rsid w:val="004F03D5"/>
    <w:rsid w:val="00510368"/>
    <w:rsid w:val="00513B5C"/>
    <w:rsid w:val="00666A12"/>
    <w:rsid w:val="006E44C1"/>
    <w:rsid w:val="006E7A72"/>
    <w:rsid w:val="006F5D38"/>
    <w:rsid w:val="006F6BB3"/>
    <w:rsid w:val="00725772"/>
    <w:rsid w:val="007A065D"/>
    <w:rsid w:val="007E235D"/>
    <w:rsid w:val="00810D1B"/>
    <w:rsid w:val="00861F97"/>
    <w:rsid w:val="00911567"/>
    <w:rsid w:val="00935C7B"/>
    <w:rsid w:val="0098795D"/>
    <w:rsid w:val="00A4571D"/>
    <w:rsid w:val="00A62C22"/>
    <w:rsid w:val="00A93859"/>
    <w:rsid w:val="00AB3ECA"/>
    <w:rsid w:val="00AD2424"/>
    <w:rsid w:val="00AD3FAA"/>
    <w:rsid w:val="00AD7BBF"/>
    <w:rsid w:val="00AF673E"/>
    <w:rsid w:val="00B74611"/>
    <w:rsid w:val="00B835F8"/>
    <w:rsid w:val="00BB4988"/>
    <w:rsid w:val="00C564E2"/>
    <w:rsid w:val="00C61046"/>
    <w:rsid w:val="00C9260E"/>
    <w:rsid w:val="00CC6AC4"/>
    <w:rsid w:val="00CE35B3"/>
    <w:rsid w:val="00D92828"/>
    <w:rsid w:val="00DE3367"/>
    <w:rsid w:val="00E137AC"/>
    <w:rsid w:val="00EB0950"/>
    <w:rsid w:val="00F45BCA"/>
    <w:rsid w:val="00F55C32"/>
    <w:rsid w:val="00F70395"/>
    <w:rsid w:val="00FD6569"/>
    <w:rsid w:val="00FE4BE4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7BB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AB3EC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95D"/>
  </w:style>
  <w:style w:type="paragraph" w:styleId="a9">
    <w:name w:val="footer"/>
    <w:basedOn w:val="a"/>
    <w:link w:val="aa"/>
    <w:uiPriority w:val="99"/>
    <w:semiHidden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7BB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AB3EC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95D"/>
  </w:style>
  <w:style w:type="paragraph" w:styleId="a9">
    <w:name w:val="footer"/>
    <w:basedOn w:val="a"/>
    <w:link w:val="aa"/>
    <w:uiPriority w:val="99"/>
    <w:semiHidden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Бобровник Юлия Александровна</dc:creator>
  <cp:lastModifiedBy>Абдуразакова Наталья Анатольевна</cp:lastModifiedBy>
  <cp:revision>2</cp:revision>
  <cp:lastPrinted>2020-11-27T09:41:00Z</cp:lastPrinted>
  <dcterms:created xsi:type="dcterms:W3CDTF">2021-03-04T02:25:00Z</dcterms:created>
  <dcterms:modified xsi:type="dcterms:W3CDTF">2021-03-04T02:25:00Z</dcterms:modified>
</cp:coreProperties>
</file>